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4D5F45" w:rsidRDefault="00F92268" w:rsidP="00850792">
      <w:pPr>
        <w:pStyle w:val="BodyText"/>
        <w:rPr>
          <w:sz w:val="6"/>
          <w:szCs w:val="6"/>
        </w:rPr>
      </w:pPr>
      <w:r w:rsidRPr="004D5F45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4D5F45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4D5F45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4D5F45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4D5F45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2A426FC" w:rsidR="00F92268" w:rsidRPr="004D5F45" w:rsidRDefault="008C3750" w:rsidP="006A5A6B">
            <w:pPr>
              <w:pStyle w:val="BodyText"/>
              <w:rPr>
                <w:color w:val="000000" w:themeColor="text1"/>
                <w:sz w:val="16"/>
                <w:szCs w:val="16"/>
              </w:rPr>
            </w:pPr>
            <w:r w:rsidRPr="004D5F45">
              <w:rPr>
                <w:color w:val="000000" w:themeColor="text1"/>
                <w:sz w:val="16"/>
                <w:szCs w:val="16"/>
              </w:rPr>
              <w:t>2288-</w:t>
            </w:r>
            <w:r w:rsidR="000346BC">
              <w:rPr>
                <w:color w:val="000000" w:themeColor="text1"/>
                <w:sz w:val="16"/>
                <w:szCs w:val="16"/>
              </w:rPr>
              <w:t>A</w:t>
            </w:r>
          </w:p>
        </w:tc>
      </w:tr>
    </w:tbl>
    <w:p w14:paraId="400FECD0" w14:textId="41E08A57" w:rsidR="006627E5" w:rsidRPr="004D5F45" w:rsidRDefault="006627E5" w:rsidP="006627E5">
      <w:pPr>
        <w:pStyle w:val="Heading1"/>
      </w:pPr>
      <w:r w:rsidRPr="004D5F45">
        <w:t>Specialty Guideline Management</w:t>
      </w:r>
      <w:r w:rsidRPr="004D5F45">
        <w:br/>
      </w:r>
      <w:r w:rsidR="0026250F" w:rsidRPr="004D5F45">
        <w:t>decitabine</w:t>
      </w:r>
    </w:p>
    <w:p w14:paraId="3DFCBE1B" w14:textId="77777777" w:rsidR="006627E5" w:rsidRPr="004D5F45" w:rsidRDefault="006627E5" w:rsidP="006627E5">
      <w:pPr>
        <w:pStyle w:val="Heading2"/>
      </w:pPr>
      <w:r w:rsidRPr="004D5F45">
        <w:t>Products Referenced by this Document</w:t>
      </w:r>
    </w:p>
    <w:p w14:paraId="2415E3C8" w14:textId="19ADDCF0" w:rsidR="006627E5" w:rsidRPr="004D5F45" w:rsidRDefault="006627E5" w:rsidP="006627E5">
      <w:pPr>
        <w:pStyle w:val="BodyText"/>
      </w:pPr>
      <w:r w:rsidRPr="004D5F45">
        <w:t xml:space="preserve">Drugs that are listed in the following table include both brand and generic and all dosage forms and strengths unless otherwise stated. </w:t>
      </w:r>
      <w:r w:rsidR="007434D1">
        <w:t>Over-the-counter (</w:t>
      </w:r>
      <w:r w:rsidRPr="004D5F45">
        <w:t>OTC</w:t>
      </w:r>
      <w:r w:rsidR="007434D1">
        <w:t>)</w:t>
      </w:r>
      <w:r w:rsidRPr="004D5F45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6627E5" w:rsidRPr="004D5F45" w14:paraId="5239A08D" w14:textId="77777777" w:rsidTr="00720B0B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76D03E8D" w14:textId="77777777" w:rsidR="006627E5" w:rsidRPr="004D5F45" w:rsidRDefault="006627E5" w:rsidP="00720B0B">
            <w:pPr>
              <w:pStyle w:val="TableHeader"/>
            </w:pPr>
            <w:r w:rsidRPr="004D5F45">
              <w:t>Brand Name</w:t>
            </w:r>
          </w:p>
        </w:tc>
        <w:tc>
          <w:tcPr>
            <w:tcW w:w="5595" w:type="dxa"/>
            <w:vAlign w:val="center"/>
          </w:tcPr>
          <w:p w14:paraId="2DFCB1B1" w14:textId="77777777" w:rsidR="006627E5" w:rsidRPr="004D5F45" w:rsidRDefault="006627E5" w:rsidP="00720B0B">
            <w:pPr>
              <w:pStyle w:val="TableHeader"/>
            </w:pPr>
            <w:r w:rsidRPr="004D5F45">
              <w:t>Generic Name</w:t>
            </w:r>
          </w:p>
        </w:tc>
      </w:tr>
      <w:tr w:rsidR="006627E5" w:rsidRPr="004D5F45" w14:paraId="3B291B3D" w14:textId="77777777" w:rsidTr="00720B0B">
        <w:trPr>
          <w:cantSplit/>
        </w:trPr>
        <w:tc>
          <w:tcPr>
            <w:tcW w:w="5265" w:type="dxa"/>
          </w:tcPr>
          <w:p w14:paraId="07D1257B" w14:textId="64A1F0B1" w:rsidR="006627E5" w:rsidRPr="004D5F45" w:rsidRDefault="00DE33D3" w:rsidP="00720B0B">
            <w:pPr>
              <w:pStyle w:val="TableDataUnpadded"/>
            </w:pPr>
            <w:r>
              <w:t>decitabine (brand unavailable)</w:t>
            </w:r>
          </w:p>
        </w:tc>
        <w:tc>
          <w:tcPr>
            <w:tcW w:w="5595" w:type="dxa"/>
          </w:tcPr>
          <w:p w14:paraId="7D979481" w14:textId="77777777" w:rsidR="006627E5" w:rsidRPr="004D5F45" w:rsidRDefault="006627E5" w:rsidP="00720B0B">
            <w:pPr>
              <w:pStyle w:val="TableDataUnpadded"/>
            </w:pPr>
            <w:r w:rsidRPr="004D5F45">
              <w:t>decitabine</w:t>
            </w:r>
          </w:p>
        </w:tc>
      </w:tr>
    </w:tbl>
    <w:p w14:paraId="3306CF19" w14:textId="77777777" w:rsidR="006627E5" w:rsidRPr="004D5F45" w:rsidRDefault="006627E5" w:rsidP="006627E5">
      <w:pPr>
        <w:pStyle w:val="Heading2"/>
      </w:pPr>
      <w:r w:rsidRPr="004D5F45">
        <w:t>Indications</w:t>
      </w:r>
    </w:p>
    <w:p w14:paraId="2743C70D" w14:textId="77777777" w:rsidR="006627E5" w:rsidRPr="004D5F45" w:rsidRDefault="006627E5" w:rsidP="006627E5">
      <w:pPr>
        <w:pStyle w:val="BodyText"/>
      </w:pPr>
      <w:r w:rsidRPr="004D5F45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6E3816CF" w14:textId="6B61FBF0" w:rsidR="006627E5" w:rsidRPr="004D5F45" w:rsidRDefault="006627E5" w:rsidP="006627E5">
      <w:pPr>
        <w:pStyle w:val="Heading3"/>
        <w:keepNext w:val="0"/>
      </w:pPr>
      <w:r w:rsidRPr="004D5F45">
        <w:t>FDA-approved Indications</w:t>
      </w:r>
      <w:r w:rsidR="00AB6BC1" w:rsidRPr="004D5F45">
        <w:rPr>
          <w:vertAlign w:val="superscript"/>
        </w:rPr>
        <w:t>1</w:t>
      </w:r>
    </w:p>
    <w:p w14:paraId="78D00246" w14:textId="32075193" w:rsidR="006627E5" w:rsidRPr="004D5F45" w:rsidRDefault="006627E5" w:rsidP="006627E5">
      <w:pPr>
        <w:pStyle w:val="BodyText"/>
      </w:pPr>
      <w:r w:rsidRPr="004D5F45">
        <w:t xml:space="preserve">Myelodysplastic syndromes (MDS): </w:t>
      </w:r>
      <w:r w:rsidR="003647CE">
        <w:t>D</w:t>
      </w:r>
      <w:r w:rsidRPr="004D5F45">
        <w:t xml:space="preserve">ecitabine is indicated for treatment of adult patients with myelodysplastic syndromes (MDS) including previously treated and untreated, de novo and secondary MDS of all French-American-British subtypes (refractory anemia, refractory anemia with ringed </w:t>
      </w:r>
      <w:proofErr w:type="spellStart"/>
      <w:r w:rsidRPr="004D5F45">
        <w:t>sideroblasts</w:t>
      </w:r>
      <w:proofErr w:type="spellEnd"/>
      <w:r w:rsidRPr="004D5F45">
        <w:t>, refractory anemia with excess blasts, refractory anemia with excess blasts in transformation, and chronic myelomonocytic leukemia) and intermediate-1, intermediate-2, and high-risk International Prognostic Scoring System groups.</w:t>
      </w:r>
    </w:p>
    <w:p w14:paraId="5EF43A07" w14:textId="706C1EF5" w:rsidR="006627E5" w:rsidRPr="004D5F45" w:rsidRDefault="006627E5" w:rsidP="00AB6BC1">
      <w:pPr>
        <w:pStyle w:val="Heading3"/>
        <w:keepNext w:val="0"/>
      </w:pPr>
      <w:r w:rsidRPr="004D5F45">
        <w:t>Compendial Uses</w:t>
      </w:r>
      <w:r w:rsidR="00B94971">
        <w:rPr>
          <w:vertAlign w:val="superscript"/>
        </w:rPr>
        <w:t>2-3</w:t>
      </w:r>
    </w:p>
    <w:p w14:paraId="5A630F75" w14:textId="77777777" w:rsidR="006627E5" w:rsidRPr="004D5F45" w:rsidRDefault="006627E5" w:rsidP="006627E5">
      <w:pPr>
        <w:pStyle w:val="ListParagraph"/>
        <w:numPr>
          <w:ilvl w:val="0"/>
          <w:numId w:val="28"/>
        </w:numPr>
        <w:contextualSpacing w:val="0"/>
      </w:pPr>
      <w:r w:rsidRPr="004D5F45">
        <w:t>Acute myeloid leukemia (AML)</w:t>
      </w:r>
    </w:p>
    <w:p w14:paraId="2554F171" w14:textId="77777777" w:rsidR="006627E5" w:rsidRPr="004D5F45" w:rsidRDefault="006627E5" w:rsidP="00AB6BC1">
      <w:pPr>
        <w:pStyle w:val="ListParagraph"/>
        <w:numPr>
          <w:ilvl w:val="0"/>
          <w:numId w:val="28"/>
        </w:numPr>
        <w:contextualSpacing w:val="0"/>
      </w:pPr>
      <w:r w:rsidRPr="004D5F45">
        <w:t>Accelerated phase or blast phase myeloproliferative neoplasms</w:t>
      </w:r>
    </w:p>
    <w:p w14:paraId="7BD76E8E" w14:textId="77777777" w:rsidR="00686A24" w:rsidRPr="004D5F45" w:rsidRDefault="006627E5" w:rsidP="00AB6BC1">
      <w:pPr>
        <w:pStyle w:val="ListParagraph"/>
        <w:numPr>
          <w:ilvl w:val="0"/>
          <w:numId w:val="28"/>
        </w:numPr>
        <w:contextualSpacing w:val="0"/>
      </w:pPr>
      <w:r w:rsidRPr="004D5F45">
        <w:t>Lower risk myelodysplastic syndromes (MDS) associated with thrombocytopenia, neutropenia, symptomatic anemia, or increased marrow blasts</w:t>
      </w:r>
    </w:p>
    <w:p w14:paraId="34BF23F8" w14:textId="6112F5DB" w:rsidR="006627E5" w:rsidRPr="004D5F45" w:rsidRDefault="006627E5" w:rsidP="00AB6BC1">
      <w:pPr>
        <w:pStyle w:val="ListParagraph"/>
        <w:numPr>
          <w:ilvl w:val="0"/>
          <w:numId w:val="28"/>
        </w:numPr>
        <w:contextualSpacing w:val="0"/>
      </w:pPr>
      <w:proofErr w:type="spellStart"/>
      <w:r w:rsidRPr="004D5F45">
        <w:t>Blastic</w:t>
      </w:r>
      <w:proofErr w:type="spellEnd"/>
      <w:r w:rsidRPr="004D5F45">
        <w:t xml:space="preserve"> plasmacytoid dendritic cell neoplasm (BPDCN)</w:t>
      </w:r>
    </w:p>
    <w:p w14:paraId="23D3A25C" w14:textId="09703DD2" w:rsidR="006627E5" w:rsidRDefault="006627E5" w:rsidP="00AB6BC1">
      <w:pPr>
        <w:pStyle w:val="ListParagraph"/>
        <w:numPr>
          <w:ilvl w:val="0"/>
          <w:numId w:val="28"/>
        </w:numPr>
        <w:spacing w:after="120"/>
        <w:contextualSpacing w:val="0"/>
      </w:pPr>
      <w:r w:rsidRPr="004D5F45">
        <w:lastRenderedPageBreak/>
        <w:t>Myelodysplastic syndrome/myeloproliferative neoplasm (MDS/MPN) Overlap Neoplasms</w:t>
      </w:r>
    </w:p>
    <w:p w14:paraId="59688EF3" w14:textId="3C2209FA" w:rsidR="008C1ED8" w:rsidRPr="004D5F45" w:rsidRDefault="008C1ED8" w:rsidP="00AB6BC1">
      <w:pPr>
        <w:pStyle w:val="ListParagraph"/>
        <w:numPr>
          <w:ilvl w:val="0"/>
          <w:numId w:val="28"/>
        </w:numPr>
        <w:spacing w:after="120"/>
        <w:contextualSpacing w:val="0"/>
      </w:pPr>
      <w:r>
        <w:t>Classic Hodgkin lymphoma</w:t>
      </w:r>
    </w:p>
    <w:p w14:paraId="09085EEB" w14:textId="4C87CF74" w:rsidR="006627E5" w:rsidRPr="004D5F45" w:rsidRDefault="006627E5" w:rsidP="006627E5">
      <w:pPr>
        <w:pStyle w:val="BodyText"/>
        <w:rPr>
          <w:rFonts w:eastAsia="Arial"/>
        </w:rPr>
      </w:pPr>
      <w:r w:rsidRPr="004D5F45">
        <w:t xml:space="preserve">All other indications are considered experimental/investigational and </w:t>
      </w:r>
      <w:r w:rsidRPr="004D5F45">
        <w:rPr>
          <w:rFonts w:eastAsia="Arial"/>
        </w:rPr>
        <w:t>not medically necessary.</w:t>
      </w:r>
    </w:p>
    <w:p w14:paraId="212E1964" w14:textId="39A38391" w:rsidR="006627E5" w:rsidRPr="004D5F45" w:rsidRDefault="00AB6BC1" w:rsidP="006627E5">
      <w:pPr>
        <w:pStyle w:val="Heading2"/>
      </w:pPr>
      <w:r w:rsidRPr="004D5F45">
        <w:t xml:space="preserve">Coverage </w:t>
      </w:r>
      <w:r w:rsidR="006627E5" w:rsidRPr="004D5F45">
        <w:t>Criteria</w:t>
      </w:r>
    </w:p>
    <w:p w14:paraId="0090D7C4" w14:textId="56C22724" w:rsidR="006627E5" w:rsidRPr="004D5F45" w:rsidRDefault="006627E5" w:rsidP="00AB6BC1">
      <w:pPr>
        <w:pStyle w:val="Heading3"/>
        <w:rPr>
          <w:rFonts w:eastAsia="Arial"/>
        </w:rPr>
      </w:pPr>
      <w:r w:rsidRPr="004D5F45">
        <w:t>Myelodysplastic syndromes (MDS)</w:t>
      </w:r>
      <w:r w:rsidRPr="004D5F45">
        <w:rPr>
          <w:vertAlign w:val="superscript"/>
        </w:rPr>
        <w:t>1,2</w:t>
      </w:r>
    </w:p>
    <w:p w14:paraId="4FB223CA" w14:textId="77777777" w:rsidR="006627E5" w:rsidRPr="004D5F45" w:rsidRDefault="006627E5" w:rsidP="00AB6BC1">
      <w:pPr>
        <w:pStyle w:val="BodyText"/>
      </w:pPr>
      <w:r w:rsidRPr="004D5F45">
        <w:t>Authorization of 12 months may be granted for the treatment of MDS.</w:t>
      </w:r>
    </w:p>
    <w:p w14:paraId="0013CEF6" w14:textId="34572D02" w:rsidR="006627E5" w:rsidRPr="004D5F45" w:rsidRDefault="006627E5" w:rsidP="00AB6BC1">
      <w:pPr>
        <w:pStyle w:val="Heading3"/>
      </w:pPr>
      <w:r w:rsidRPr="004D5F45">
        <w:t>Acute myeloid leukemia (AML)</w:t>
      </w:r>
      <w:r w:rsidR="00B94971">
        <w:rPr>
          <w:vertAlign w:val="superscript"/>
        </w:rPr>
        <w:t>2</w:t>
      </w:r>
    </w:p>
    <w:p w14:paraId="290F4B7D" w14:textId="49CE249B" w:rsidR="00051356" w:rsidRPr="004D5F45" w:rsidRDefault="006627E5" w:rsidP="00AB6BC1">
      <w:pPr>
        <w:pStyle w:val="BodyText"/>
      </w:pPr>
      <w:r w:rsidRPr="004D5F45">
        <w:t>Authorization of 12 months may be granted for the treatment of AML.</w:t>
      </w:r>
    </w:p>
    <w:p w14:paraId="4ACFC603" w14:textId="6AFC268D" w:rsidR="006627E5" w:rsidRPr="004D5F45" w:rsidRDefault="006627E5" w:rsidP="00AB6BC1">
      <w:pPr>
        <w:pStyle w:val="Heading3"/>
      </w:pPr>
      <w:r w:rsidRPr="004D5F45">
        <w:t>Accelerated phase or blast phase myeloproliferative neoplasms</w:t>
      </w:r>
      <w:r w:rsidR="00B94971">
        <w:rPr>
          <w:vertAlign w:val="superscript"/>
        </w:rPr>
        <w:t>2</w:t>
      </w:r>
    </w:p>
    <w:p w14:paraId="1FEC457F" w14:textId="7ABCC9FA" w:rsidR="006627E5" w:rsidRPr="004D5F45" w:rsidRDefault="006627E5" w:rsidP="00AB6BC1">
      <w:pPr>
        <w:pStyle w:val="BodyText"/>
      </w:pPr>
      <w:r w:rsidRPr="004D5F45">
        <w:t xml:space="preserve">Authorization of 12 months may be granted for the treatment of accelerated </w:t>
      </w:r>
      <w:r w:rsidR="00541424">
        <w:t>phase</w:t>
      </w:r>
      <w:r w:rsidRPr="004D5F45">
        <w:t xml:space="preserve"> or blast phase myeloproliferative neoplasms</w:t>
      </w:r>
      <w:r w:rsidR="004F7BF4">
        <w:t>.</w:t>
      </w:r>
    </w:p>
    <w:p w14:paraId="4632DBE6" w14:textId="079F4F4D" w:rsidR="006627E5" w:rsidRPr="004D5F45" w:rsidRDefault="006627E5" w:rsidP="00AB6BC1">
      <w:pPr>
        <w:pStyle w:val="Heading3"/>
      </w:pPr>
      <w:proofErr w:type="spellStart"/>
      <w:r w:rsidRPr="004D5F45">
        <w:t>Blastic</w:t>
      </w:r>
      <w:proofErr w:type="spellEnd"/>
      <w:r w:rsidRPr="004D5F45">
        <w:t xml:space="preserve"> plasmacytoid dendritic cell neoplasm (BPDCN)</w:t>
      </w:r>
      <w:r w:rsidR="00B94971">
        <w:rPr>
          <w:vertAlign w:val="superscript"/>
        </w:rPr>
        <w:t>2</w:t>
      </w:r>
    </w:p>
    <w:p w14:paraId="282ADA54" w14:textId="77777777" w:rsidR="006627E5" w:rsidRPr="004D5F45" w:rsidRDefault="006627E5" w:rsidP="00AB6BC1">
      <w:pPr>
        <w:pStyle w:val="BodyText"/>
      </w:pPr>
      <w:r w:rsidRPr="004D5F45">
        <w:t>Authorization of 12 months may be granted for the treatment of BPDCN when used in combination with venetoclax in either of the following settings.</w:t>
      </w:r>
    </w:p>
    <w:p w14:paraId="0F067ED8" w14:textId="77777777" w:rsidR="006627E5" w:rsidRPr="004D5F45" w:rsidRDefault="006627E5" w:rsidP="00AB6BC1">
      <w:pPr>
        <w:pStyle w:val="ListParagraph"/>
        <w:numPr>
          <w:ilvl w:val="0"/>
          <w:numId w:val="34"/>
        </w:numPr>
        <w:ind w:left="720"/>
        <w:contextualSpacing w:val="0"/>
      </w:pPr>
      <w:r w:rsidRPr="004D5F45">
        <w:t>For the treatment of relapsed or refractory disease.</w:t>
      </w:r>
    </w:p>
    <w:p w14:paraId="073CCC09" w14:textId="77777777" w:rsidR="006627E5" w:rsidRPr="004D5F45" w:rsidRDefault="006627E5" w:rsidP="00AB6BC1">
      <w:pPr>
        <w:pStyle w:val="ListParagraph"/>
        <w:numPr>
          <w:ilvl w:val="0"/>
          <w:numId w:val="34"/>
        </w:numPr>
        <w:spacing w:after="120"/>
        <w:ind w:left="720"/>
      </w:pPr>
      <w:r w:rsidRPr="004D5F45">
        <w:t>For the treatment of systemic disease with palliative intent.</w:t>
      </w:r>
    </w:p>
    <w:p w14:paraId="426C2526" w14:textId="37012971" w:rsidR="006627E5" w:rsidRPr="004D5F45" w:rsidRDefault="006627E5" w:rsidP="00AB6BC1">
      <w:pPr>
        <w:pStyle w:val="Heading3"/>
      </w:pPr>
      <w:r w:rsidRPr="004D5F45">
        <w:t>Myelodysplastic syndrome/myeloproliferative neoplasm (MDS/MPN) overlap neoplasms</w:t>
      </w:r>
      <w:r w:rsidR="00B94971">
        <w:rPr>
          <w:vertAlign w:val="superscript"/>
        </w:rPr>
        <w:t>2</w:t>
      </w:r>
      <w:r w:rsidRPr="004D5F45">
        <w:rPr>
          <w:vertAlign w:val="superscript"/>
        </w:rPr>
        <w:t>-</w:t>
      </w:r>
      <w:r w:rsidR="00B94971">
        <w:rPr>
          <w:vertAlign w:val="superscript"/>
        </w:rPr>
        <w:t>3</w:t>
      </w:r>
    </w:p>
    <w:p w14:paraId="05906A56" w14:textId="0B1D7967" w:rsidR="004D5F45" w:rsidRDefault="006627E5" w:rsidP="00AB6BC1">
      <w:pPr>
        <w:pStyle w:val="BodyText"/>
      </w:pPr>
      <w:r w:rsidRPr="004D5F45">
        <w:t>Authorization of 12 months may be granted for the treatment of MDS/MPN overlap neoplasms (i.e., chronic myelomonocytic leukemia (CMML), BCR-ABL negative atypical chronic myeloid leukemia (</w:t>
      </w:r>
      <w:proofErr w:type="spellStart"/>
      <w:r w:rsidRPr="004D5F45">
        <w:t>aCML</w:t>
      </w:r>
      <w:proofErr w:type="spellEnd"/>
      <w:r w:rsidRPr="004D5F45">
        <w:t xml:space="preserve">), MDS/MPN with neutrophilia, unclassifiable MDS/MPN, MDS/MPN not otherwise specified (NOS), MDS/MPN with ring </w:t>
      </w:r>
      <w:proofErr w:type="spellStart"/>
      <w:r w:rsidRPr="004D5F45">
        <w:t>sideroblasts</w:t>
      </w:r>
      <w:proofErr w:type="spellEnd"/>
      <w:r w:rsidRPr="004D5F45">
        <w:t xml:space="preserve"> and thrombocytosis</w:t>
      </w:r>
      <w:r w:rsidR="00DD2E2B">
        <w:t>, or MDS/MPN with SF3B1 mutation</w:t>
      </w:r>
      <w:r w:rsidRPr="004D5F45">
        <w:t>).</w:t>
      </w:r>
    </w:p>
    <w:p w14:paraId="381145A3" w14:textId="015DA6D5" w:rsidR="008C1ED8" w:rsidRDefault="008C1ED8" w:rsidP="008C1ED8">
      <w:pPr>
        <w:pStyle w:val="Heading3"/>
      </w:pPr>
      <w:r>
        <w:t>Classic Hodgkin lymphoma</w:t>
      </w:r>
      <w:r w:rsidR="00B94971">
        <w:rPr>
          <w:vertAlign w:val="superscript"/>
        </w:rPr>
        <w:t>2</w:t>
      </w:r>
    </w:p>
    <w:p w14:paraId="07CFF5A4" w14:textId="05CD7CDE" w:rsidR="008C1ED8" w:rsidRDefault="008C1ED8" w:rsidP="00AB6BC1">
      <w:pPr>
        <w:pStyle w:val="BodyText"/>
      </w:pPr>
      <w:r>
        <w:t xml:space="preserve">Authorization </w:t>
      </w:r>
      <w:r w:rsidRPr="004D5F45">
        <w:t xml:space="preserve">of 12 months may be granted for the </w:t>
      </w:r>
      <w:r w:rsidR="0011704D">
        <w:t xml:space="preserve">subsequent </w:t>
      </w:r>
      <w:r w:rsidRPr="004D5F45">
        <w:t>treatment of</w:t>
      </w:r>
      <w:r w:rsidR="0011704D">
        <w:t xml:space="preserve"> classic Hodgkin lymphoma in combination with pembrolizumab </w:t>
      </w:r>
      <w:r w:rsidR="009E4D05">
        <w:t>when</w:t>
      </w:r>
      <w:r w:rsidR="0011704D">
        <w:t xml:space="preserve"> the </w:t>
      </w:r>
      <w:r w:rsidR="009E4D05">
        <w:t>disease is refractory to</w:t>
      </w:r>
      <w:r w:rsidR="0011704D">
        <w:t xml:space="preserve"> at least 3 prior lines of therapy.</w:t>
      </w:r>
    </w:p>
    <w:p w14:paraId="4B22B316" w14:textId="77777777" w:rsidR="006627E5" w:rsidRPr="004D5F45" w:rsidRDefault="006627E5" w:rsidP="006627E5">
      <w:pPr>
        <w:pStyle w:val="Heading2"/>
      </w:pPr>
      <w:r w:rsidRPr="004D5F45">
        <w:t>Continuation of Therapy</w:t>
      </w:r>
    </w:p>
    <w:p w14:paraId="0D3D359A" w14:textId="024CEEB1" w:rsidR="006627E5" w:rsidRPr="004D5F45" w:rsidRDefault="006627E5" w:rsidP="006627E5">
      <w:pPr>
        <w:pStyle w:val="BodyText"/>
      </w:pPr>
      <w:r w:rsidRPr="004D5F45">
        <w:t xml:space="preserve">Authorization of 12 months may be granted for continued treatment in members requesting reauthorization for an indication listed in </w:t>
      </w:r>
      <w:r w:rsidR="0081465D">
        <w:t>the Coverage Criteria section</w:t>
      </w:r>
      <w:r w:rsidRPr="004D5F45">
        <w:t xml:space="preserve"> when there is no evidence of unacceptable toxicity or disease progression while on the current regimen.</w:t>
      </w:r>
    </w:p>
    <w:p w14:paraId="003E09ED" w14:textId="77777777" w:rsidR="006627E5" w:rsidRPr="004D5F45" w:rsidRDefault="006627E5" w:rsidP="006627E5">
      <w:pPr>
        <w:pStyle w:val="Heading2"/>
      </w:pPr>
      <w:r w:rsidRPr="004D5F45">
        <w:t>References</w:t>
      </w:r>
    </w:p>
    <w:p w14:paraId="54D52B7C" w14:textId="77777777" w:rsidR="006627E5" w:rsidRPr="004D5F45" w:rsidRDefault="006627E5" w:rsidP="006627E5">
      <w:pPr>
        <w:pStyle w:val="ReferenceOrdered"/>
      </w:pPr>
      <w:r w:rsidRPr="004D5F45">
        <w:t>Decitabine [package insert]. Princeton, NJ: Dr. Reddy’s Laboratories Inc.; July 2020.</w:t>
      </w:r>
    </w:p>
    <w:p w14:paraId="10F21827" w14:textId="549D58D5" w:rsidR="006627E5" w:rsidRPr="004D5F45" w:rsidRDefault="006627E5" w:rsidP="006627E5">
      <w:pPr>
        <w:pStyle w:val="ReferenceOrdered"/>
        <w:rPr>
          <w:color w:val="000000"/>
        </w:rPr>
      </w:pPr>
      <w:r w:rsidRPr="004D5F45">
        <w:t>The NCCN Drugs &amp; Biologics Compendium</w:t>
      </w:r>
      <w:r w:rsidRPr="004D5F45">
        <w:rPr>
          <w:vertAlign w:val="superscript"/>
        </w:rPr>
        <w:t>®</w:t>
      </w:r>
      <w:r w:rsidRPr="004D5F45">
        <w:t xml:space="preserve"> © 202</w:t>
      </w:r>
      <w:r w:rsidR="007E3540">
        <w:t>5</w:t>
      </w:r>
      <w:r w:rsidRPr="004D5F45">
        <w:t xml:space="preserve"> National Comprehensive Cancer Network, Inc. Available at http://www.nccn.org. </w:t>
      </w:r>
      <w:r w:rsidRPr="004D5F45">
        <w:rPr>
          <w:color w:val="000000"/>
        </w:rPr>
        <w:t xml:space="preserve">Accessed January </w:t>
      </w:r>
      <w:r w:rsidR="007E3540">
        <w:rPr>
          <w:color w:val="000000"/>
        </w:rPr>
        <w:t>8</w:t>
      </w:r>
      <w:r w:rsidRPr="004D5F45">
        <w:rPr>
          <w:color w:val="000000"/>
        </w:rPr>
        <w:t>, 202</w:t>
      </w:r>
      <w:r w:rsidR="007E3540">
        <w:rPr>
          <w:color w:val="000000"/>
        </w:rPr>
        <w:t>5</w:t>
      </w:r>
      <w:r w:rsidRPr="004D5F45">
        <w:rPr>
          <w:color w:val="000000"/>
        </w:rPr>
        <w:t>.</w:t>
      </w:r>
    </w:p>
    <w:p w14:paraId="32955D6C" w14:textId="77777777" w:rsidR="006627E5" w:rsidRPr="004D5F45" w:rsidRDefault="006627E5" w:rsidP="006627E5">
      <w:pPr>
        <w:pStyle w:val="ReferenceOrdered"/>
      </w:pPr>
      <w:r w:rsidRPr="004D5F45">
        <w:t>Zoi K, Cross NC. Molecular pathogenesis of atypical CML, CMML and MDS/MPN unclassifiable. Int J Hematol 2015;101:229-242.</w:t>
      </w:r>
    </w:p>
    <w:sectPr w:rsidR="006627E5" w:rsidRPr="004D5F45" w:rsidSect="001069BC">
      <w:headerReference w:type="default" r:id="rId12"/>
      <w:footerReference w:type="default" r:id="rId13"/>
      <w:footerReference w:type="first" r:id="rId14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923FD" w14:textId="77777777" w:rsidR="00990D0C" w:rsidRDefault="00990D0C">
      <w:r>
        <w:separator/>
      </w:r>
    </w:p>
  </w:endnote>
  <w:endnote w:type="continuationSeparator" w:id="0">
    <w:p w14:paraId="4E647457" w14:textId="77777777" w:rsidR="00990D0C" w:rsidRDefault="00990D0C">
      <w:r>
        <w:continuationSeparator/>
      </w:r>
    </w:p>
  </w:endnote>
  <w:endnote w:type="continuationNotice" w:id="1">
    <w:p w14:paraId="107AB268" w14:textId="77777777" w:rsidR="00990D0C" w:rsidRDefault="00990D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DB03B" w14:textId="77777777" w:rsidR="00FE4E4D" w:rsidRPr="00EC47B6" w:rsidRDefault="00FE4E4D" w:rsidP="00FE4E4D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B549BA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Pr="005262BC">
      <w:rPr>
        <w:rFonts w:cs="Arial"/>
        <w:noProof/>
        <w:sz w:val="16"/>
        <w:szCs w:val="16"/>
        <w:lang w:val="it-IT"/>
      </w:rPr>
      <w:t>decitabine-Dacogen</w:t>
    </w:r>
    <w:r>
      <w:rPr>
        <w:rFonts w:cs="Arial"/>
        <w:noProof/>
        <w:snapToGrid w:val="0"/>
        <w:color w:val="000000"/>
        <w:sz w:val="16"/>
        <w:szCs w:val="16"/>
        <w:lang w:val="it-IT"/>
      </w:rPr>
      <w:t xml:space="preserve"> 2288-A SGM</w:t>
    </w:r>
    <w:r w:rsidRPr="005262BC">
      <w:rPr>
        <w:rFonts w:cs="Arial"/>
        <w:noProof/>
        <w:sz w:val="16"/>
        <w:szCs w:val="16"/>
        <w:lang w:val="it-IT"/>
      </w:rPr>
      <w:t xml:space="preserve"> 202</w:t>
    </w:r>
    <w:r>
      <w:rPr>
        <w:rFonts w:cs="Arial"/>
        <w:noProof/>
        <w:sz w:val="16"/>
        <w:szCs w:val="16"/>
        <w:lang w:val="it-IT"/>
      </w:rPr>
      <w:t>5</w:t>
    </w:r>
    <w:r>
      <w:rPr>
        <w:rFonts w:cs="Arial"/>
        <w:noProof/>
        <w:snapToGrid w:val="0"/>
        <w:color w:val="000000"/>
        <w:sz w:val="16"/>
        <w:szCs w:val="16"/>
        <w:lang w:val="it-IT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B549BA">
      <w:rPr>
        <w:rFonts w:cs="Arial"/>
        <w:snapToGrid w:val="0"/>
        <w:color w:val="000000"/>
        <w:sz w:val="16"/>
        <w:lang w:val="it-IT"/>
      </w:rPr>
      <w:tab/>
      <w:t>© 202</w:t>
    </w:r>
    <w:r>
      <w:rPr>
        <w:rFonts w:cs="Arial"/>
        <w:snapToGrid w:val="0"/>
        <w:color w:val="000000"/>
        <w:sz w:val="16"/>
        <w:lang w:val="it-IT"/>
      </w:rPr>
      <w:t>5</w:t>
    </w:r>
    <w:r w:rsidRPr="00B549BA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BDE9B47" w14:textId="77777777" w:rsidR="00FE4E4D" w:rsidRPr="00EC47B6" w:rsidRDefault="00FE4E4D" w:rsidP="00FE4E4D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55F7D672" w14:textId="77777777" w:rsidR="00FE4E4D" w:rsidRPr="00FE4E4D" w:rsidRDefault="00FE4E4D" w:rsidP="00FE4E4D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8526E" w14:textId="4077CA55" w:rsidR="002A3109" w:rsidRPr="00EC47B6" w:rsidRDefault="002A3109" w:rsidP="002A3109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B549BA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A0A4A" w:rsidRPr="008A0A4A">
      <w:rPr>
        <w:rFonts w:cs="Arial"/>
        <w:noProof/>
        <w:sz w:val="16"/>
        <w:szCs w:val="16"/>
        <w:lang w:val="it-IT"/>
      </w:rPr>
      <w:t>decitabine</w:t>
    </w:r>
    <w:r w:rsidR="008A0A4A">
      <w:rPr>
        <w:rFonts w:cs="Arial"/>
        <w:noProof/>
        <w:snapToGrid w:val="0"/>
        <w:color w:val="000000"/>
        <w:sz w:val="16"/>
        <w:szCs w:val="16"/>
        <w:lang w:val="it-IT"/>
      </w:rPr>
      <w:t xml:space="preserve"> SGM 2288-A</w:t>
    </w:r>
    <w:r w:rsidR="008A0A4A" w:rsidRPr="008A0A4A">
      <w:rPr>
        <w:rFonts w:cs="Arial"/>
        <w:noProof/>
        <w:sz w:val="16"/>
        <w:szCs w:val="16"/>
        <w:lang w:val="it-I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B549BA">
      <w:rPr>
        <w:rFonts w:cs="Arial"/>
        <w:snapToGrid w:val="0"/>
        <w:color w:val="000000"/>
        <w:sz w:val="16"/>
        <w:lang w:val="it-IT"/>
      </w:rPr>
      <w:tab/>
      <w:t>© 202</w:t>
    </w:r>
    <w:r w:rsidR="002E2BC2">
      <w:rPr>
        <w:rFonts w:cs="Arial"/>
        <w:snapToGrid w:val="0"/>
        <w:color w:val="000000"/>
        <w:sz w:val="16"/>
        <w:lang w:val="it-IT"/>
      </w:rPr>
      <w:t>5</w:t>
    </w:r>
    <w:r w:rsidRPr="00B549BA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504F3D52" w14:textId="77777777" w:rsidR="002A3109" w:rsidRPr="00EC47B6" w:rsidRDefault="002A3109" w:rsidP="002A3109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183197CE" w14:textId="52DE1C38" w:rsidR="004D5F45" w:rsidRPr="00FE4E4D" w:rsidRDefault="002A3109" w:rsidP="00540F1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48372" w14:textId="77777777" w:rsidR="00990D0C" w:rsidRDefault="00990D0C">
      <w:r>
        <w:separator/>
      </w:r>
    </w:p>
  </w:footnote>
  <w:footnote w:type="continuationSeparator" w:id="0">
    <w:p w14:paraId="378C012A" w14:textId="77777777" w:rsidR="00990D0C" w:rsidRDefault="00990D0C">
      <w:r>
        <w:continuationSeparator/>
      </w:r>
    </w:p>
  </w:footnote>
  <w:footnote w:type="continuationNotice" w:id="1">
    <w:p w14:paraId="02633CCA" w14:textId="77777777" w:rsidR="00990D0C" w:rsidRDefault="00990D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B53D27" w:rsidRPr="004D5F45" w14:paraId="4A588DFD" w14:textId="77777777" w:rsidTr="00BD3062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hideMark/>
        </w:tcPr>
        <w:p w14:paraId="0332AE62" w14:textId="77777777" w:rsidR="00B53D27" w:rsidRPr="004D5F45" w:rsidRDefault="00B53D27" w:rsidP="00B53D27">
          <w:pPr>
            <w:pStyle w:val="Header"/>
            <w:rPr>
              <w:rFonts w:cs="Arial"/>
              <w:sz w:val="16"/>
              <w:szCs w:val="16"/>
            </w:rPr>
          </w:pPr>
          <w:r w:rsidRPr="004D5F45">
            <w:rPr>
              <w:rFonts w:cs="Arial"/>
              <w:sz w:val="16"/>
              <w:szCs w:val="16"/>
            </w:rPr>
            <w:t>Reference number(s)</w:t>
          </w:r>
        </w:p>
      </w:tc>
    </w:tr>
    <w:tr w:rsidR="00B53D27" w:rsidRPr="004D5F45" w14:paraId="779F60C2" w14:textId="77777777" w:rsidTr="00BD3062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24BF915" w14:textId="77777777" w:rsidR="00B53D27" w:rsidRPr="004D5F45" w:rsidRDefault="00B53D27" w:rsidP="00B53D27">
          <w:pPr>
            <w:pStyle w:val="BodyText"/>
            <w:rPr>
              <w:color w:val="000000" w:themeColor="text1"/>
              <w:sz w:val="16"/>
              <w:szCs w:val="16"/>
            </w:rPr>
          </w:pPr>
          <w:r w:rsidRPr="004D5F45">
            <w:rPr>
              <w:color w:val="000000" w:themeColor="text1"/>
              <w:sz w:val="16"/>
              <w:szCs w:val="16"/>
            </w:rPr>
            <w:t>2288-</w:t>
          </w:r>
          <w:r>
            <w:rPr>
              <w:color w:val="000000" w:themeColor="text1"/>
              <w:sz w:val="16"/>
              <w:szCs w:val="16"/>
            </w:rPr>
            <w:t>A</w:t>
          </w:r>
        </w:p>
      </w:tc>
    </w:tr>
  </w:tbl>
  <w:p w14:paraId="6D03C395" w14:textId="77777777" w:rsidR="00B53D27" w:rsidRPr="00B53D27" w:rsidRDefault="00B53D27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2D30370"/>
    <w:multiLevelType w:val="hybridMultilevel"/>
    <w:tmpl w:val="3FD08848"/>
    <w:lvl w:ilvl="0" w:tplc="33B4F5D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C632F0"/>
    <w:multiLevelType w:val="hybridMultilevel"/>
    <w:tmpl w:val="CC9AC8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B3629E5"/>
    <w:multiLevelType w:val="hybridMultilevel"/>
    <w:tmpl w:val="D6AC11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8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280636"/>
    <w:multiLevelType w:val="hybridMultilevel"/>
    <w:tmpl w:val="3D7C1046"/>
    <w:lvl w:ilvl="0" w:tplc="9D16F11A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D64A6F0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B4A820D8">
      <w:start w:val="1"/>
      <w:numFmt w:val="decimal"/>
      <w:lvlText w:val="%4."/>
      <w:lvlJc w:val="left"/>
      <w:pPr>
        <w:ind w:left="1440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1800" w:hanging="360"/>
      </w:pPr>
    </w:lvl>
    <w:lvl w:ilvl="5" w:tplc="0409001B">
      <w:start w:val="1"/>
      <w:numFmt w:val="lowerRoman"/>
      <w:lvlText w:val="%6."/>
      <w:lvlJc w:val="right"/>
      <w:pPr>
        <w:ind w:left="216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E56C3A"/>
    <w:multiLevelType w:val="hybridMultilevel"/>
    <w:tmpl w:val="CA56D7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22670A"/>
    <w:multiLevelType w:val="hybridMultilevel"/>
    <w:tmpl w:val="B232A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B07FF1"/>
    <w:multiLevelType w:val="hybridMultilevel"/>
    <w:tmpl w:val="9D148018"/>
    <w:lvl w:ilvl="0" w:tplc="96CE01C8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213B9F"/>
    <w:multiLevelType w:val="multilevel"/>
    <w:tmpl w:val="D49C25FA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4"/>
  </w:num>
  <w:num w:numId="2" w16cid:durableId="606935877">
    <w:abstractNumId w:val="29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5"/>
  </w:num>
  <w:num w:numId="15" w16cid:durableId="616722934">
    <w:abstractNumId w:val="12"/>
  </w:num>
  <w:num w:numId="16" w16cid:durableId="898320195">
    <w:abstractNumId w:val="22"/>
  </w:num>
  <w:num w:numId="17" w16cid:durableId="2128498676">
    <w:abstractNumId w:val="31"/>
  </w:num>
  <w:num w:numId="18" w16cid:durableId="299724409">
    <w:abstractNumId w:val="26"/>
  </w:num>
  <w:num w:numId="19" w16cid:durableId="214585573">
    <w:abstractNumId w:val="17"/>
  </w:num>
  <w:num w:numId="20" w16cid:durableId="1289816170">
    <w:abstractNumId w:val="18"/>
  </w:num>
  <w:num w:numId="21" w16cid:durableId="1066490929">
    <w:abstractNumId w:val="32"/>
  </w:num>
  <w:num w:numId="22" w16cid:durableId="1472481103">
    <w:abstractNumId w:val="28"/>
  </w:num>
  <w:num w:numId="23" w16cid:durableId="1997420403">
    <w:abstractNumId w:val="30"/>
  </w:num>
  <w:num w:numId="24" w16cid:durableId="33312838">
    <w:abstractNumId w:val="27"/>
  </w:num>
  <w:num w:numId="25" w16cid:durableId="507404939">
    <w:abstractNumId w:val="21"/>
  </w:num>
  <w:num w:numId="26" w16cid:durableId="11714092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16001386">
    <w:abstractNumId w:val="16"/>
  </w:num>
  <w:num w:numId="28" w16cid:durableId="935017654">
    <w:abstractNumId w:val="23"/>
  </w:num>
  <w:num w:numId="29" w16cid:durableId="12971828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16156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58031934">
    <w:abstractNumId w:val="20"/>
  </w:num>
  <w:num w:numId="32" w16cid:durableId="138309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35988925">
    <w:abstractNumId w:val="32"/>
  </w:num>
  <w:num w:numId="34" w16cid:durableId="340864105">
    <w:abstractNumId w:val="11"/>
  </w:num>
  <w:num w:numId="35" w16cid:durableId="1799446035">
    <w:abstractNumId w:val="3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46BC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523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69BC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04D"/>
    <w:rsid w:val="00117495"/>
    <w:rsid w:val="0011772F"/>
    <w:rsid w:val="001202DD"/>
    <w:rsid w:val="00121BD0"/>
    <w:rsid w:val="00121DAD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2C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1E4F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50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5E95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109"/>
    <w:rsid w:val="002A3CC2"/>
    <w:rsid w:val="002A529C"/>
    <w:rsid w:val="002A557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BE7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2BC2"/>
    <w:rsid w:val="002E362E"/>
    <w:rsid w:val="002E3C61"/>
    <w:rsid w:val="002E3D87"/>
    <w:rsid w:val="002E5C63"/>
    <w:rsid w:val="002E6ADF"/>
    <w:rsid w:val="002E6AE1"/>
    <w:rsid w:val="002E7264"/>
    <w:rsid w:val="002F0DB6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71B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3FEC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7CE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C76EF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854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5F45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BF4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17BE4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0F1A"/>
    <w:rsid w:val="0054123C"/>
    <w:rsid w:val="00541424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27"/>
    <w:rsid w:val="005E5A43"/>
    <w:rsid w:val="005E5EF1"/>
    <w:rsid w:val="005E6A1A"/>
    <w:rsid w:val="005F0A5B"/>
    <w:rsid w:val="005F10FC"/>
    <w:rsid w:val="005F15E0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7E5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6E19"/>
    <w:rsid w:val="006801C0"/>
    <w:rsid w:val="00681D74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6A24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6B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1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54F3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64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3540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65D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D5D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2EB5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8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0A4A"/>
    <w:rsid w:val="008A15EC"/>
    <w:rsid w:val="008A4526"/>
    <w:rsid w:val="008A4B15"/>
    <w:rsid w:val="008A4CB3"/>
    <w:rsid w:val="008A4FDA"/>
    <w:rsid w:val="008A54AF"/>
    <w:rsid w:val="008A5C29"/>
    <w:rsid w:val="008A5DC2"/>
    <w:rsid w:val="008A61A8"/>
    <w:rsid w:val="008A64CF"/>
    <w:rsid w:val="008A7775"/>
    <w:rsid w:val="008A78C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9F4"/>
    <w:rsid w:val="008B6DBE"/>
    <w:rsid w:val="008B73E8"/>
    <w:rsid w:val="008B7B4F"/>
    <w:rsid w:val="008B7F2F"/>
    <w:rsid w:val="008C0ECB"/>
    <w:rsid w:val="008C1818"/>
    <w:rsid w:val="008C1ED8"/>
    <w:rsid w:val="008C30A0"/>
    <w:rsid w:val="008C3173"/>
    <w:rsid w:val="008C3750"/>
    <w:rsid w:val="008C3DF1"/>
    <w:rsid w:val="008C42FB"/>
    <w:rsid w:val="008C45B6"/>
    <w:rsid w:val="008C54D9"/>
    <w:rsid w:val="008C5E4C"/>
    <w:rsid w:val="008D0F23"/>
    <w:rsid w:val="008D1B34"/>
    <w:rsid w:val="008D2B93"/>
    <w:rsid w:val="008D2DB9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527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214"/>
    <w:rsid w:val="009817FD"/>
    <w:rsid w:val="00981AFC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0D0C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C07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4D05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8C3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0B2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C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6E"/>
    <w:rsid w:val="00A7382E"/>
    <w:rsid w:val="00A73BA2"/>
    <w:rsid w:val="00A73E46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4570"/>
    <w:rsid w:val="00AB5F0B"/>
    <w:rsid w:val="00AB6199"/>
    <w:rsid w:val="00AB67A6"/>
    <w:rsid w:val="00AB6BC1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5F97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3D27"/>
    <w:rsid w:val="00B54526"/>
    <w:rsid w:val="00B549BA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77D94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4971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A7DB9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B7DBA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7DA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0E14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4A33"/>
    <w:rsid w:val="00C65465"/>
    <w:rsid w:val="00C65502"/>
    <w:rsid w:val="00C675EB"/>
    <w:rsid w:val="00C676EA"/>
    <w:rsid w:val="00C700FE"/>
    <w:rsid w:val="00C712D8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209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A82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2E2B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3D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65D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4E46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572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3867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C4D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6B8F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E4D"/>
    <w:rsid w:val="00FE4F0E"/>
    <w:rsid w:val="00FE6BAD"/>
    <w:rsid w:val="00FE78A7"/>
    <w:rsid w:val="00FE7C80"/>
    <w:rsid w:val="00FF166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6627E5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FB6B8F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FB6B8F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DEB80B33-4794-47E7-8055-972C4A5D8F3F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488</Words>
  <Characters>3250</Characters>
  <Application>Microsoft Office Word</Application>
  <DocSecurity>0</DocSecurity>
  <Lines>65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decitabine-Dacogen 2288-A SGM 2024</vt:lpstr>
    </vt:vector>
  </TitlesOfParts>
  <Company>PCS Health Systems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decitabine SGM 2288-A</dc:title>
  <dc:subject/>
  <dc:creator>CVS Caremark</dc:creator>
  <cp:keywords/>
  <cp:lastModifiedBy>Huerta, Linda M</cp:lastModifiedBy>
  <cp:revision>5</cp:revision>
  <cp:lastPrinted>2018-01-09T05:01:00Z</cp:lastPrinted>
  <dcterms:created xsi:type="dcterms:W3CDTF">2025-04-22T18:24:00Z</dcterms:created>
  <dcterms:modified xsi:type="dcterms:W3CDTF">2025-04-22T18:25:00Z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945000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